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31" w:rsidRPr="003B3CFA" w:rsidRDefault="00335B31" w:rsidP="00335B31">
      <w:pPr>
        <w:shd w:val="clear" w:color="auto" w:fill="FFFFFF"/>
        <w:ind w:firstLine="426"/>
        <w:jc w:val="both"/>
        <w:rPr>
          <w:rFonts w:ascii="Georgia" w:hAnsi="Georgia"/>
          <w:b/>
          <w:color w:val="0000CC"/>
          <w:sz w:val="32"/>
          <w:szCs w:val="32"/>
          <w:lang w:val="uk-UA"/>
        </w:rPr>
      </w:pPr>
      <w:bookmarkStart w:id="0" w:name="_Toc152569739"/>
      <w:r w:rsidRPr="00335B31">
        <w:rPr>
          <w:rFonts w:ascii="Georgia" w:hAnsi="Georgia"/>
          <w:b/>
          <w:bCs/>
          <w:color w:val="0000CC"/>
          <w:sz w:val="32"/>
          <w:szCs w:val="32"/>
          <w:lang w:val="uk-UA"/>
        </w:rPr>
        <w:t>Бойчук І</w:t>
      </w:r>
      <w:r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. </w:t>
      </w:r>
      <w:r w:rsidRPr="00335B31">
        <w:rPr>
          <w:rFonts w:ascii="Georgia" w:hAnsi="Georgia"/>
          <w:b/>
          <w:bCs/>
          <w:color w:val="0000CC"/>
          <w:sz w:val="32"/>
          <w:szCs w:val="32"/>
          <w:lang w:val="uk-UA"/>
        </w:rPr>
        <w:t>Впровадження нових технологій навчання у професійній підготовці фармацевтів у коледжі</w:t>
      </w:r>
      <w:r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 </w:t>
      </w:r>
      <w:r>
        <w:rPr>
          <w:rFonts w:ascii="Georgia" w:hAnsi="Georgia"/>
          <w:b/>
          <w:bCs/>
          <w:color w:val="0000CC"/>
          <w:sz w:val="32"/>
          <w:szCs w:val="32"/>
          <w:lang w:val="uk-UA"/>
        </w:rPr>
        <w:t>// </w:t>
      </w:r>
      <w:r w:rsidRPr="003B3CFA"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Актуальні проблеми </w:t>
      </w:r>
      <w:proofErr w:type="spellStart"/>
      <w:r w:rsidRPr="003B3CFA">
        <w:rPr>
          <w:rFonts w:ascii="Georgia" w:hAnsi="Georgia"/>
          <w:b/>
          <w:bCs/>
          <w:color w:val="0000CC"/>
          <w:sz w:val="32"/>
          <w:szCs w:val="32"/>
          <w:lang w:val="uk-UA"/>
        </w:rPr>
        <w:t>професійно</w:t>
      </w:r>
      <w:proofErr w:type="spellEnd"/>
      <w:r w:rsidRPr="003B3CFA">
        <w:rPr>
          <w:rFonts w:ascii="Georgia" w:hAnsi="Georgia"/>
          <w:b/>
          <w:bCs/>
          <w:color w:val="0000CC"/>
          <w:sz w:val="32"/>
          <w:szCs w:val="32"/>
          <w:lang w:val="uk-UA"/>
        </w:rPr>
        <w:t>-педагогічної освіти та стратегії розвитку</w:t>
      </w:r>
      <w:r w:rsidRPr="003B3CFA">
        <w:rPr>
          <w:rFonts w:ascii="Georgia" w:hAnsi="Georgia"/>
          <w:b/>
          <w:bCs/>
          <w:color w:val="0000CC"/>
          <w:spacing w:val="1"/>
          <w:sz w:val="32"/>
          <w:szCs w:val="32"/>
          <w:lang w:val="uk-UA"/>
        </w:rPr>
        <w:t xml:space="preserve">: </w:t>
      </w:r>
      <w:proofErr w:type="spellStart"/>
      <w:r w:rsidRPr="003B3CFA">
        <w:rPr>
          <w:rFonts w:ascii="Georgia" w:hAnsi="Georgia"/>
          <w:b/>
          <w:bCs/>
          <w:color w:val="0000CC"/>
          <w:spacing w:val="1"/>
          <w:sz w:val="32"/>
          <w:szCs w:val="32"/>
          <w:lang w:val="uk-UA"/>
        </w:rPr>
        <w:t>Зб</w:t>
      </w:r>
      <w:proofErr w:type="spellEnd"/>
      <w:r w:rsidRPr="003B3CFA">
        <w:rPr>
          <w:rFonts w:ascii="Georgia" w:hAnsi="Georgia"/>
          <w:b/>
          <w:bCs/>
          <w:color w:val="0000CC"/>
          <w:spacing w:val="1"/>
          <w:sz w:val="32"/>
          <w:szCs w:val="32"/>
          <w:lang w:val="uk-UA"/>
        </w:rPr>
        <w:t xml:space="preserve">. </w:t>
      </w:r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 xml:space="preserve">наук. праць / За </w:t>
      </w:r>
      <w:proofErr w:type="spellStart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заг</w:t>
      </w:r>
      <w:proofErr w:type="spellEnd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. ред. О.А. </w:t>
      </w:r>
      <w:proofErr w:type="spellStart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Дубасенюк</w:t>
      </w:r>
      <w:proofErr w:type="spellEnd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, Л.В. </w:t>
      </w:r>
      <w:proofErr w:type="spellStart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Калініної</w:t>
      </w:r>
      <w:proofErr w:type="spellEnd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 xml:space="preserve">, О.Є. Антонової. – Житомир: Вид-во ЖДУ, 2006. – </w:t>
      </w:r>
      <w:r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С. </w:t>
      </w:r>
      <w:r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66-68</w:t>
      </w:r>
      <w:r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.</w:t>
      </w:r>
    </w:p>
    <w:p w:rsidR="00335B31" w:rsidRDefault="00335B31" w:rsidP="00A27967">
      <w:pPr>
        <w:pStyle w:val="1"/>
        <w:spacing w:line="240" w:lineRule="auto"/>
        <w:ind w:firstLine="284"/>
        <w:jc w:val="right"/>
        <w:rPr>
          <w:b/>
          <w:bCs/>
          <w:i/>
          <w:iCs/>
          <w:sz w:val="20"/>
          <w:szCs w:val="20"/>
        </w:rPr>
      </w:pPr>
    </w:p>
    <w:p w:rsidR="00A27967" w:rsidRPr="00335B31" w:rsidRDefault="00A27967" w:rsidP="00A27967">
      <w:pPr>
        <w:pStyle w:val="1"/>
        <w:spacing w:line="240" w:lineRule="auto"/>
        <w:ind w:firstLine="284"/>
        <w:jc w:val="right"/>
        <w:rPr>
          <w:b/>
          <w:bCs/>
          <w:i/>
          <w:iCs/>
          <w:szCs w:val="28"/>
        </w:rPr>
      </w:pPr>
      <w:r w:rsidRPr="00335B31">
        <w:rPr>
          <w:b/>
          <w:bCs/>
          <w:i/>
          <w:iCs/>
          <w:szCs w:val="28"/>
        </w:rPr>
        <w:t>Бойчук Ірина,</w:t>
      </w:r>
      <w:bookmarkEnd w:id="0"/>
      <w:r w:rsidRPr="00335B31">
        <w:rPr>
          <w:b/>
          <w:bCs/>
          <w:i/>
          <w:iCs/>
          <w:szCs w:val="28"/>
        </w:rPr>
        <w:t xml:space="preserve"> </w:t>
      </w:r>
    </w:p>
    <w:p w:rsidR="00A27967" w:rsidRPr="00335B31" w:rsidRDefault="00A27967" w:rsidP="00A27967">
      <w:pPr>
        <w:ind w:firstLine="284"/>
        <w:jc w:val="right"/>
        <w:rPr>
          <w:i/>
          <w:sz w:val="28"/>
          <w:szCs w:val="28"/>
          <w:lang w:val="uk-UA"/>
        </w:rPr>
      </w:pPr>
      <w:r w:rsidRPr="00335B31">
        <w:rPr>
          <w:i/>
          <w:sz w:val="28"/>
          <w:szCs w:val="28"/>
          <w:lang w:val="uk-UA"/>
        </w:rPr>
        <w:t xml:space="preserve">здобувач кафедри педагогіки </w:t>
      </w:r>
    </w:p>
    <w:p w:rsidR="00A27967" w:rsidRPr="00335B31" w:rsidRDefault="00A27967" w:rsidP="00A27967">
      <w:pPr>
        <w:ind w:firstLine="284"/>
        <w:jc w:val="right"/>
        <w:rPr>
          <w:i/>
          <w:sz w:val="28"/>
          <w:szCs w:val="28"/>
          <w:lang w:val="uk-UA"/>
        </w:rPr>
      </w:pPr>
      <w:r w:rsidRPr="00335B31">
        <w:rPr>
          <w:i/>
          <w:sz w:val="28"/>
          <w:szCs w:val="28"/>
          <w:lang w:val="uk-UA"/>
        </w:rPr>
        <w:t>(Житомирський державний університет імені Івана Франка)</w:t>
      </w:r>
    </w:p>
    <w:p w:rsidR="00A27967" w:rsidRPr="00335B31" w:rsidRDefault="00A27967" w:rsidP="00A27967">
      <w:pPr>
        <w:pStyle w:val="1"/>
        <w:spacing w:before="120" w:after="120" w:line="240" w:lineRule="auto"/>
        <w:ind w:firstLine="284"/>
        <w:rPr>
          <w:b/>
          <w:bCs/>
          <w:szCs w:val="28"/>
        </w:rPr>
      </w:pPr>
      <w:bookmarkStart w:id="1" w:name="_Toc152569740"/>
      <w:r w:rsidRPr="00335B31">
        <w:rPr>
          <w:b/>
          <w:bCs/>
          <w:szCs w:val="28"/>
        </w:rPr>
        <w:t>Впровадження нових технологій навчання у професійній підготовці фармацевтів у коледжі</w:t>
      </w:r>
      <w:bookmarkEnd w:id="1"/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У вересні 2005 року між Національним фармацевтичним університетом (м. Харків) та Житомирським базовим фармацевтичним коледжем ім. Г.С. </w:t>
      </w:r>
      <w:proofErr w:type="spellStart"/>
      <w:r w:rsidRPr="00335B31">
        <w:rPr>
          <w:sz w:val="28"/>
          <w:szCs w:val="28"/>
          <w:lang w:val="uk-UA"/>
        </w:rPr>
        <w:t>Протасевича</w:t>
      </w:r>
      <w:proofErr w:type="spellEnd"/>
      <w:r w:rsidRPr="00335B31">
        <w:rPr>
          <w:sz w:val="28"/>
          <w:szCs w:val="28"/>
          <w:lang w:val="uk-UA"/>
        </w:rPr>
        <w:t xml:space="preserve"> створено навчально-науково-виробничий комплекс з метою реалізації ступеневої освіти у підготовці фахівців фармацевтичної галузі. У зв’язку з тим, що Національний фармацевтичний університет входить до переліку навчальних закладів по проведенню експерименту з впровадження кредитно-модульної системи організації навчального процесу (КМСОНП) в коледжі розпочато підготовку бакалаврів фармації саме за такою системою навчання.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 xml:space="preserve">Відповідно наказів МОН України від </w:t>
      </w:r>
      <w:smartTag w:uri="urn:schemas-microsoft-com:office:smarttags" w:element="date">
        <w:smartTagPr>
          <w:attr w:name="Year" w:val="2004"/>
          <w:attr w:name="Day" w:val="23"/>
          <w:attr w:name="Month" w:val="01"/>
          <w:attr w:name="ls" w:val="trans"/>
        </w:smartTagPr>
        <w:r w:rsidRPr="00335B31">
          <w:rPr>
            <w:sz w:val="28"/>
            <w:szCs w:val="28"/>
            <w:lang w:val="uk-UA"/>
          </w:rPr>
          <w:t>23.01.2004</w:t>
        </w:r>
      </w:smartTag>
      <w:r w:rsidRPr="00335B31">
        <w:rPr>
          <w:sz w:val="28"/>
          <w:szCs w:val="28"/>
          <w:lang w:val="uk-UA"/>
        </w:rPr>
        <w:t xml:space="preserve"> р. № 48 «Про проведення педагогічного експерименту з запровадження кредитно-модульної системи організації навчального процесу» та МОЗ України від </w:t>
      </w:r>
      <w:smartTag w:uri="urn:schemas-microsoft-com:office:smarttags" w:element="date">
        <w:smartTagPr>
          <w:attr w:name="Year" w:val="04"/>
          <w:attr w:name="Day" w:val="22"/>
          <w:attr w:name="Month" w:val="03"/>
          <w:attr w:name="ls" w:val="trans"/>
        </w:smartTagPr>
        <w:r w:rsidRPr="00335B31">
          <w:rPr>
            <w:sz w:val="28"/>
            <w:szCs w:val="28"/>
            <w:lang w:val="uk-UA"/>
          </w:rPr>
          <w:t>22.03.04</w:t>
        </w:r>
      </w:smartTag>
      <w:r w:rsidRPr="00335B31">
        <w:rPr>
          <w:sz w:val="28"/>
          <w:szCs w:val="28"/>
          <w:lang w:val="uk-UA"/>
        </w:rPr>
        <w:t xml:space="preserve"> р. № 148 «Про заходи щодо реалізації положень Болонської декларації в системі вищої медичної та фармацевтичної освіти» в коледжі насамперед було: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● розроблено Тимчасове положення про організацію навчального процесу за кредитно-модульною системою та Положення про рейтингову систему оцінювання знань, вмінь та навичок студентів в умовах кредитно-модульної системи навчання;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 xml:space="preserve">● складено робочий навчальний план з розрахунку на три роки навчання бакалаврів, що містить 180 кредитів </w:t>
      </w:r>
      <w:r w:rsidRPr="00335B31">
        <w:rPr>
          <w:sz w:val="28"/>
          <w:szCs w:val="28"/>
          <w:lang w:val="en-US"/>
        </w:rPr>
        <w:t>ECTS</w:t>
      </w:r>
      <w:r w:rsidRPr="00335B31">
        <w:rPr>
          <w:sz w:val="28"/>
          <w:szCs w:val="28"/>
          <w:lang w:val="uk-UA"/>
        </w:rPr>
        <w:t xml:space="preserve">. 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Один навчальний рік триває 40 тижнів і включає 60 кредитів. Навчальний час за три роки – 6480 годин. Робочий навчальний план на один навчальний рік має чотири залікових кредити, кожний по 10 тижнів: 9 – навчальні тижні, 1 – тиждень підсумкового модульного контролю;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 xml:space="preserve">● складено проекти типових навчальних програм з дисциплін першого року навчання відповідно наказу МОЗ України № 492 від </w:t>
      </w:r>
      <w:smartTag w:uri="urn:schemas-microsoft-com:office:smarttags" w:element="date">
        <w:smartTagPr>
          <w:attr w:name="ls" w:val="trans"/>
          <w:attr w:name="Month" w:val="10"/>
          <w:attr w:name="Day" w:val="12"/>
          <w:attr w:name="Year" w:val="2004"/>
        </w:smartTagPr>
        <w:r w:rsidRPr="00335B31">
          <w:rPr>
            <w:sz w:val="28"/>
            <w:szCs w:val="28"/>
            <w:lang w:val="uk-UA"/>
          </w:rPr>
          <w:t>12.10.2004</w:t>
        </w:r>
      </w:smartTag>
      <w:r w:rsidRPr="00335B31">
        <w:rPr>
          <w:sz w:val="28"/>
          <w:szCs w:val="28"/>
          <w:lang w:val="uk-UA"/>
        </w:rPr>
        <w:t xml:space="preserve"> р. «Про внесення змін та доповнень до Рекомендацій щодо розроблення навчальних програм навчальних дисциплін», особливість яких полягає в структуруванні програмного матеріалу на модулі, змістові модулі. 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Програма має таку структуру: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lastRenderedPageBreak/>
        <w:t>1. Пояснювальна записка.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2. Мета вивчення навчальної дисципліни.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 xml:space="preserve">3.Зміст програми. Навчальна програма складається з окремих модулів, кожен з яких містить певну кількість залікових одиниць </w:t>
      </w:r>
      <w:r w:rsidRPr="00335B31">
        <w:rPr>
          <w:sz w:val="28"/>
          <w:szCs w:val="28"/>
          <w:lang w:val="en-US"/>
        </w:rPr>
        <w:t>ECTS</w:t>
      </w:r>
      <w:r w:rsidRPr="00335B31">
        <w:rPr>
          <w:sz w:val="28"/>
          <w:szCs w:val="28"/>
          <w:lang w:val="uk-UA"/>
        </w:rPr>
        <w:t xml:space="preserve"> (кредитів).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4. Тематичний план лекцій з дисципліни (за модулями).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5.Тематичний план практичних (лабораторних, семінарських) занять (за модулями).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6. План практичної підготовки.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7. Тематичний план самостійної роботи студентів (за модулями).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8. Перелік питань для підсумкового контролю. Якщо дисципліна включає кілька модулів, необхідно скласти окремі переліки для кожного модуля та для дисципліни в цілому.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 xml:space="preserve">9. Форми контролю. 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10. Перелік навчально-методичної літератури, який включає підручники, посібники, методичні розробки тощо.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Детальний зміст тем за видами занять, поєднання їх у змістові модулі, відомості про форми поточного та модульного контролю міститься у структурованій робочій навчальній програмі з дисципліни, яка розробляється викладачами циклової методичної комісії та використовується для планування навчальних аудиторних занять, консультацій та  самостійної роботи студентів;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● розроблено критерії оцінювання знань та вмінь студентів за рейтинговою багатобальною шкалою з кожної дисципліни;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● складено графік контрольних заходів, який включає різні види модульного контролю: модульну теоретичну контрольну роботу, захист практичного модуля, захист лабораторного модуля тощо.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Оцінювання успішності студентів з конкретної дисципліни передбачає оцінювання поточної навчальної діяльності та підсумковий модульний контроль, що і складає оцінювання конкретного модуля. Максимальна кількість балів, яку студент може набрати при вивченні кожного модуля – 200 балів, в тому числі за поточну навчальну діяльність – 120 балів, за результатами підсумкового модульного контролю – 80 балів. Таким чином, обирається співвідношення між результатами  оцінювання поточної навчальної діяльності і підсумкового модульного контролю 60% і 40%.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Вага кожної теми в балах в межах одного модуля має бути однаковою, але може бути різною для різних модулів однієї дисципліни і визначається кількістю тем у модулі.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Мінімальна кількість балів, яку студент може отримати при вивченні модуля для допуску до підсумкового контролю, вираховується шляхом множення кількості балів, що відповідають оцінці «3» на кількість занять у модулі.</w:t>
      </w:r>
    </w:p>
    <w:p w:rsid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 xml:space="preserve">Академічні успіхи студента визначаються за допомогою системи оцінювання,  прийнятої у коледжі з обов’язковим переведенням оцінок у національну шкалу та шкалу </w:t>
      </w:r>
      <w:r w:rsidRPr="00335B31">
        <w:rPr>
          <w:sz w:val="28"/>
          <w:szCs w:val="28"/>
          <w:lang w:val="en-US"/>
        </w:rPr>
        <w:t>ECTS</w:t>
      </w:r>
      <w:r w:rsidRPr="00335B31">
        <w:rPr>
          <w:sz w:val="28"/>
          <w:szCs w:val="28"/>
          <w:lang w:val="uk-UA"/>
        </w:rPr>
        <w:t>:</w:t>
      </w:r>
    </w:p>
    <w:p w:rsidR="00335B31" w:rsidRDefault="00335B31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9"/>
        <w:gridCol w:w="3863"/>
        <w:gridCol w:w="3243"/>
      </w:tblGrid>
      <w:tr w:rsidR="00A27967" w:rsidRPr="00335B31" w:rsidTr="000274F6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35B31">
              <w:rPr>
                <w:b/>
                <w:sz w:val="28"/>
                <w:szCs w:val="28"/>
              </w:rPr>
              <w:t>Національна</w:t>
            </w:r>
            <w:proofErr w:type="spellEnd"/>
          </w:p>
          <w:p w:rsidR="00A27967" w:rsidRPr="00335B31" w:rsidRDefault="00A27967" w:rsidP="000274F6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335B31">
              <w:rPr>
                <w:b/>
                <w:sz w:val="28"/>
                <w:szCs w:val="28"/>
              </w:rPr>
              <w:t>шкала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335B31">
              <w:rPr>
                <w:b/>
                <w:sz w:val="28"/>
                <w:szCs w:val="28"/>
              </w:rPr>
              <w:t>Шкала</w:t>
            </w:r>
          </w:p>
          <w:p w:rsidR="00A27967" w:rsidRPr="00335B31" w:rsidRDefault="00A27967" w:rsidP="000274F6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335B31">
              <w:rPr>
                <w:b/>
                <w:sz w:val="28"/>
                <w:szCs w:val="28"/>
              </w:rPr>
              <w:t>ECTS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35B31">
              <w:rPr>
                <w:b/>
                <w:sz w:val="28"/>
                <w:szCs w:val="28"/>
              </w:rPr>
              <w:t>Рейтингова</w:t>
            </w:r>
            <w:proofErr w:type="spellEnd"/>
            <w:r w:rsidRPr="00335B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5B31">
              <w:rPr>
                <w:b/>
                <w:sz w:val="28"/>
                <w:szCs w:val="28"/>
              </w:rPr>
              <w:t>оцінка</w:t>
            </w:r>
            <w:proofErr w:type="spellEnd"/>
            <w:r w:rsidRPr="00335B3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35B31">
              <w:rPr>
                <w:b/>
                <w:sz w:val="28"/>
                <w:szCs w:val="28"/>
              </w:rPr>
              <w:t>бали</w:t>
            </w:r>
            <w:proofErr w:type="spellEnd"/>
          </w:p>
        </w:tc>
      </w:tr>
      <w:tr w:rsidR="00A27967" w:rsidRPr="00335B31" w:rsidTr="000274F6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pStyle w:val="5"/>
              <w:spacing w:before="0" w:after="0" w:line="21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335B31">
              <w:rPr>
                <w:b w:val="0"/>
                <w:i w:val="0"/>
                <w:sz w:val="28"/>
                <w:szCs w:val="28"/>
              </w:rPr>
              <w:t>5 – відмінно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pStyle w:val="6"/>
              <w:spacing w:before="0" w:after="0" w:line="216" w:lineRule="auto"/>
              <w:jc w:val="both"/>
              <w:rPr>
                <w:b w:val="0"/>
                <w:sz w:val="28"/>
                <w:szCs w:val="28"/>
              </w:rPr>
            </w:pPr>
            <w:r w:rsidRPr="00335B31">
              <w:rPr>
                <w:b w:val="0"/>
                <w:sz w:val="28"/>
                <w:szCs w:val="28"/>
              </w:rPr>
              <w:t>А – відмінно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pStyle w:val="6"/>
              <w:spacing w:before="0" w:after="0" w:line="216" w:lineRule="auto"/>
              <w:jc w:val="both"/>
              <w:rPr>
                <w:b w:val="0"/>
                <w:sz w:val="28"/>
                <w:szCs w:val="28"/>
              </w:rPr>
            </w:pPr>
            <w:r w:rsidRPr="00335B31">
              <w:rPr>
                <w:b w:val="0"/>
                <w:sz w:val="28"/>
                <w:szCs w:val="28"/>
              </w:rPr>
              <w:t>180–200</w:t>
            </w:r>
          </w:p>
        </w:tc>
      </w:tr>
      <w:tr w:rsidR="00A27967" w:rsidRPr="00335B31" w:rsidTr="000274F6"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4 – добре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 xml:space="preserve">В – </w:t>
            </w:r>
            <w:proofErr w:type="spellStart"/>
            <w:r w:rsidRPr="00335B31">
              <w:rPr>
                <w:sz w:val="28"/>
                <w:szCs w:val="28"/>
              </w:rPr>
              <w:t>дуже</w:t>
            </w:r>
            <w:proofErr w:type="spellEnd"/>
            <w:r w:rsidRPr="00335B31">
              <w:rPr>
                <w:sz w:val="28"/>
                <w:szCs w:val="28"/>
              </w:rPr>
              <w:t xml:space="preserve"> добре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166–179</w:t>
            </w:r>
          </w:p>
        </w:tc>
      </w:tr>
      <w:tr w:rsidR="00A27967" w:rsidRPr="00335B31" w:rsidTr="000274F6"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С – добре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150–165</w:t>
            </w:r>
          </w:p>
        </w:tc>
      </w:tr>
      <w:tr w:rsidR="00A27967" w:rsidRPr="00335B31" w:rsidTr="000274F6"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 xml:space="preserve">3 – </w:t>
            </w:r>
            <w:proofErr w:type="spellStart"/>
            <w:r w:rsidRPr="00335B31">
              <w:rPr>
                <w:sz w:val="28"/>
                <w:szCs w:val="28"/>
              </w:rPr>
              <w:t>задовільно</w:t>
            </w:r>
            <w:proofErr w:type="spellEnd"/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D</w:t>
            </w:r>
            <w:r w:rsidRPr="00335B31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335B31">
              <w:rPr>
                <w:sz w:val="28"/>
                <w:szCs w:val="28"/>
              </w:rPr>
              <w:t>задовільно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134–149</w:t>
            </w:r>
          </w:p>
        </w:tc>
      </w:tr>
      <w:tr w:rsidR="00A27967" w:rsidRPr="00335B31" w:rsidTr="000274F6"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 xml:space="preserve">E – </w:t>
            </w:r>
            <w:proofErr w:type="spellStart"/>
            <w:r w:rsidRPr="00335B31">
              <w:rPr>
                <w:sz w:val="28"/>
                <w:szCs w:val="28"/>
              </w:rPr>
              <w:t>достатньо</w:t>
            </w:r>
            <w:proofErr w:type="spellEnd"/>
            <w:r w:rsidRPr="00335B31">
              <w:rPr>
                <w:sz w:val="28"/>
                <w:szCs w:val="28"/>
              </w:rPr>
              <w:t xml:space="preserve"> </w:t>
            </w:r>
          </w:p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(</w:t>
            </w:r>
            <w:proofErr w:type="spellStart"/>
            <w:r w:rsidRPr="00335B31">
              <w:rPr>
                <w:sz w:val="28"/>
                <w:szCs w:val="28"/>
              </w:rPr>
              <w:t>задовольняє</w:t>
            </w:r>
            <w:proofErr w:type="spellEnd"/>
            <w:r w:rsidRPr="00335B31">
              <w:rPr>
                <w:sz w:val="28"/>
                <w:szCs w:val="28"/>
              </w:rPr>
              <w:t xml:space="preserve"> </w:t>
            </w:r>
            <w:proofErr w:type="spellStart"/>
            <w:r w:rsidRPr="00335B31">
              <w:rPr>
                <w:sz w:val="28"/>
                <w:szCs w:val="28"/>
              </w:rPr>
              <w:t>мінімальні</w:t>
            </w:r>
            <w:proofErr w:type="spellEnd"/>
            <w:r w:rsidRPr="00335B31">
              <w:rPr>
                <w:sz w:val="28"/>
                <w:szCs w:val="28"/>
              </w:rPr>
              <w:t xml:space="preserve"> </w:t>
            </w:r>
            <w:proofErr w:type="spellStart"/>
            <w:r w:rsidRPr="00335B31">
              <w:rPr>
                <w:sz w:val="28"/>
                <w:szCs w:val="28"/>
              </w:rPr>
              <w:t>критерії</w:t>
            </w:r>
            <w:proofErr w:type="spellEnd"/>
            <w:r w:rsidRPr="00335B31">
              <w:rPr>
                <w:sz w:val="28"/>
                <w:szCs w:val="28"/>
              </w:rPr>
              <w:t>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120–133</w:t>
            </w:r>
          </w:p>
        </w:tc>
      </w:tr>
      <w:tr w:rsidR="00A27967" w:rsidRPr="00335B31" w:rsidTr="000274F6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 xml:space="preserve">2– </w:t>
            </w:r>
            <w:proofErr w:type="spellStart"/>
            <w:r w:rsidRPr="00335B31">
              <w:rPr>
                <w:sz w:val="28"/>
                <w:szCs w:val="28"/>
              </w:rPr>
              <w:t>незадовільно</w:t>
            </w:r>
            <w:proofErr w:type="spellEnd"/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pStyle w:val="6"/>
              <w:spacing w:before="0" w:after="0" w:line="216" w:lineRule="auto"/>
              <w:jc w:val="both"/>
              <w:rPr>
                <w:b w:val="0"/>
                <w:sz w:val="28"/>
                <w:szCs w:val="28"/>
              </w:rPr>
            </w:pPr>
            <w:r w:rsidRPr="00335B31">
              <w:rPr>
                <w:b w:val="0"/>
                <w:sz w:val="28"/>
                <w:szCs w:val="28"/>
              </w:rPr>
              <w:t>FX – незадовільно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pStyle w:val="6"/>
              <w:spacing w:before="0" w:after="0" w:line="216" w:lineRule="auto"/>
              <w:jc w:val="both"/>
              <w:rPr>
                <w:b w:val="0"/>
                <w:sz w:val="28"/>
                <w:szCs w:val="28"/>
              </w:rPr>
            </w:pPr>
            <w:r w:rsidRPr="00335B31">
              <w:rPr>
                <w:b w:val="0"/>
                <w:sz w:val="28"/>
                <w:szCs w:val="28"/>
              </w:rPr>
              <w:t>70–119</w:t>
            </w:r>
          </w:p>
        </w:tc>
      </w:tr>
      <w:tr w:rsidR="00A27967" w:rsidRPr="00335B31" w:rsidTr="000274F6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не допущений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 xml:space="preserve">F – </w:t>
            </w:r>
            <w:proofErr w:type="spellStart"/>
            <w:r w:rsidRPr="00335B31">
              <w:rPr>
                <w:sz w:val="28"/>
                <w:szCs w:val="28"/>
              </w:rPr>
              <w:t>незадовільно</w:t>
            </w:r>
            <w:proofErr w:type="spellEnd"/>
          </w:p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(</w:t>
            </w:r>
            <w:proofErr w:type="spellStart"/>
            <w:r w:rsidRPr="00335B31">
              <w:rPr>
                <w:sz w:val="28"/>
                <w:szCs w:val="28"/>
              </w:rPr>
              <w:t>потрібна</w:t>
            </w:r>
            <w:proofErr w:type="spellEnd"/>
            <w:r w:rsidRPr="00335B31">
              <w:rPr>
                <w:sz w:val="28"/>
                <w:szCs w:val="28"/>
              </w:rPr>
              <w:t xml:space="preserve"> </w:t>
            </w:r>
            <w:proofErr w:type="spellStart"/>
            <w:r w:rsidRPr="00335B31">
              <w:rPr>
                <w:sz w:val="28"/>
                <w:szCs w:val="28"/>
              </w:rPr>
              <w:t>додаткова</w:t>
            </w:r>
            <w:proofErr w:type="spellEnd"/>
            <w:r w:rsidRPr="00335B31">
              <w:rPr>
                <w:sz w:val="28"/>
                <w:szCs w:val="28"/>
              </w:rPr>
              <w:t xml:space="preserve"> робота)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7" w:rsidRPr="00335B31" w:rsidRDefault="00A27967" w:rsidP="000274F6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335B31">
              <w:rPr>
                <w:sz w:val="28"/>
                <w:szCs w:val="28"/>
              </w:rPr>
              <w:t>1–69</w:t>
            </w:r>
          </w:p>
        </w:tc>
      </w:tr>
    </w:tbl>
    <w:p w:rsidR="00A27967" w:rsidRPr="00335B31" w:rsidRDefault="00A27967" w:rsidP="00A27967">
      <w:pPr>
        <w:spacing w:before="120"/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Підсумкова оцінка з дисципліни виводиться як середнє арифметичне рейтингових оцінок за кожний модуль з дисципліни.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Рейтинг студента – це порядкова позиція студента в групі та на курсі, який визначається в кінці семестру. Дає право на іменні стипендії, переходу з контрактної форми навчання на вакантні місця державного замовлення.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proofErr w:type="spellStart"/>
      <w:r w:rsidRPr="00335B31">
        <w:rPr>
          <w:sz w:val="28"/>
          <w:szCs w:val="28"/>
          <w:lang w:val="uk-UA"/>
        </w:rPr>
        <w:t>Модульно</w:t>
      </w:r>
      <w:proofErr w:type="spellEnd"/>
      <w:r w:rsidRPr="00335B31">
        <w:rPr>
          <w:sz w:val="28"/>
          <w:szCs w:val="28"/>
          <w:lang w:val="uk-UA"/>
        </w:rPr>
        <w:t>-рейтингова система є комплексною системою і враховує не тільки результати процесу навчання, а й інші складові діяльності студента: участь в олімпіадах, конкурсах, підготовка доповідей на студентських науково-практичних конференціях тощо. В основі рейтингової системи оцінювання лежить поопераційний контроль і накопичення рейтингових балів за різнобічну навчально-пізнавальну діяльність за певний період навчання.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 xml:space="preserve">З досвіду застосування </w:t>
      </w:r>
      <w:proofErr w:type="spellStart"/>
      <w:r w:rsidRPr="00335B31">
        <w:rPr>
          <w:sz w:val="28"/>
          <w:szCs w:val="28"/>
          <w:lang w:val="uk-UA"/>
        </w:rPr>
        <w:t>модульно</w:t>
      </w:r>
      <w:proofErr w:type="spellEnd"/>
      <w:r w:rsidRPr="00335B31">
        <w:rPr>
          <w:sz w:val="28"/>
          <w:szCs w:val="28"/>
          <w:lang w:val="uk-UA"/>
        </w:rPr>
        <w:t>-рейтингової системи оцінювання, можна визначити її особливості: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- рейтингова система оцінювання успішності навчання та визначення рейтингу студентів не скасовує традиційну систему оцінювання, а існує поряд з нею;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- рейтингова система оцінювання робить саму систему оцінювання більш гнучкою, об’єктивною і сприяє систематичній та активній роботі студентів протягом усього періоду навчання;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- забезпечує здорову конкуренцію між студентами в навчанні, сприяє розвитку та виявленню творчих здібностей студентів.</w:t>
      </w:r>
    </w:p>
    <w:p w:rsidR="00A27967" w:rsidRPr="00335B31" w:rsidRDefault="00A27967" w:rsidP="00A27967">
      <w:pPr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 xml:space="preserve">За рік  роботи в умовах КМСОНП можна зробити висновок, що контроль в такій системі організації навчального процесу є систематичним, оцінюючим, виховним, розвиваючим, всебічним та об’єктивним. Він має значення не тільки для студента, а й для викладача. Для студента контроль – об’єктивна оцінка своїх знань та вмінь, для викладача – оцінка його педагогічної майстерності, творчого підходу до викладання певної навчальної дисципліни. </w:t>
      </w:r>
    </w:p>
    <w:p w:rsidR="00A27967" w:rsidRPr="00335B31" w:rsidRDefault="00A27967" w:rsidP="00A27967">
      <w:pPr>
        <w:tabs>
          <w:tab w:val="left" w:pos="180"/>
        </w:tabs>
        <w:spacing w:line="216" w:lineRule="auto"/>
        <w:ind w:firstLine="284"/>
        <w:jc w:val="center"/>
        <w:rPr>
          <w:b/>
          <w:sz w:val="28"/>
          <w:szCs w:val="28"/>
          <w:lang w:val="uk-UA"/>
        </w:rPr>
      </w:pPr>
      <w:r w:rsidRPr="00335B31">
        <w:rPr>
          <w:b/>
          <w:sz w:val="28"/>
          <w:szCs w:val="28"/>
          <w:lang w:val="uk-UA"/>
        </w:rPr>
        <w:t>Перелік використаної літератури</w:t>
      </w:r>
    </w:p>
    <w:p w:rsidR="00A27967" w:rsidRPr="00335B31" w:rsidRDefault="00A27967" w:rsidP="00A27967">
      <w:pPr>
        <w:spacing w:line="216" w:lineRule="auto"/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</w:rPr>
        <w:t>1</w:t>
      </w:r>
      <w:r w:rsidRPr="00335B31">
        <w:rPr>
          <w:sz w:val="28"/>
          <w:szCs w:val="28"/>
          <w:lang w:val="uk-UA"/>
        </w:rPr>
        <w:t xml:space="preserve">. Кроки до Болонського процесу: Збірник матеріалів / Уклад. В.П. </w:t>
      </w:r>
      <w:proofErr w:type="spellStart"/>
      <w:r w:rsidRPr="00335B31">
        <w:rPr>
          <w:sz w:val="28"/>
          <w:szCs w:val="28"/>
          <w:lang w:val="uk-UA"/>
        </w:rPr>
        <w:t>Головенкін</w:t>
      </w:r>
      <w:proofErr w:type="spellEnd"/>
      <w:r w:rsidRPr="00335B31">
        <w:rPr>
          <w:sz w:val="28"/>
          <w:szCs w:val="28"/>
          <w:lang w:val="uk-UA"/>
        </w:rPr>
        <w:t>. – К.: ІВЦ Вид-во «Політехніка», 2004. – 112 с.</w:t>
      </w:r>
    </w:p>
    <w:p w:rsidR="00A27967" w:rsidRPr="00335B31" w:rsidRDefault="00A27967" w:rsidP="00A27967">
      <w:pPr>
        <w:spacing w:line="216" w:lineRule="auto"/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  <w:lang w:val="uk-UA"/>
        </w:rPr>
        <w:t>2. Методичні матеріали щодо кредитно-модульної організації навчального процесу в НТУ «ХПІ» /</w:t>
      </w:r>
      <w:proofErr w:type="spellStart"/>
      <w:r w:rsidRPr="00335B31">
        <w:rPr>
          <w:sz w:val="28"/>
          <w:szCs w:val="28"/>
          <w:lang w:val="uk-UA"/>
        </w:rPr>
        <w:t>Товажнянський</w:t>
      </w:r>
      <w:proofErr w:type="spellEnd"/>
      <w:r w:rsidRPr="00335B31">
        <w:rPr>
          <w:sz w:val="28"/>
          <w:szCs w:val="28"/>
          <w:lang w:val="uk-UA"/>
        </w:rPr>
        <w:t xml:space="preserve"> Л.Л., </w:t>
      </w:r>
      <w:proofErr w:type="spellStart"/>
      <w:r w:rsidRPr="00335B31">
        <w:rPr>
          <w:sz w:val="28"/>
          <w:szCs w:val="28"/>
          <w:lang w:val="uk-UA"/>
        </w:rPr>
        <w:t>Сокол</w:t>
      </w:r>
      <w:proofErr w:type="spellEnd"/>
      <w:r w:rsidRPr="00335B31">
        <w:rPr>
          <w:sz w:val="28"/>
          <w:szCs w:val="28"/>
          <w:lang w:val="uk-UA"/>
        </w:rPr>
        <w:t xml:space="preserve"> Є.І., Клименко Б.В. – Х.: НТУ «ХПІ», 2004. – 36 с.</w:t>
      </w:r>
    </w:p>
    <w:p w:rsidR="00A27967" w:rsidRPr="00335B31" w:rsidRDefault="00A27967" w:rsidP="00A27967">
      <w:pPr>
        <w:spacing w:line="216" w:lineRule="auto"/>
        <w:ind w:firstLine="284"/>
        <w:jc w:val="both"/>
        <w:rPr>
          <w:sz w:val="28"/>
          <w:szCs w:val="28"/>
          <w:lang w:val="uk-UA"/>
        </w:rPr>
      </w:pPr>
      <w:r w:rsidRPr="00335B31">
        <w:rPr>
          <w:sz w:val="28"/>
          <w:szCs w:val="28"/>
        </w:rPr>
        <w:t>3</w:t>
      </w:r>
      <w:r w:rsidRPr="00335B31">
        <w:rPr>
          <w:sz w:val="28"/>
          <w:szCs w:val="28"/>
          <w:lang w:val="uk-UA"/>
        </w:rPr>
        <w:t xml:space="preserve">. Кредитно-модульна система організації навчання у контексті Болонського процесу в Національному фармацевтичному університеті: </w:t>
      </w:r>
      <w:proofErr w:type="spellStart"/>
      <w:proofErr w:type="gramStart"/>
      <w:r w:rsidRPr="00335B31">
        <w:rPr>
          <w:sz w:val="28"/>
          <w:szCs w:val="28"/>
          <w:lang w:val="uk-UA"/>
        </w:rPr>
        <w:t>Навч</w:t>
      </w:r>
      <w:proofErr w:type="spellEnd"/>
      <w:r w:rsidRPr="00335B31">
        <w:rPr>
          <w:sz w:val="28"/>
          <w:szCs w:val="28"/>
          <w:lang w:val="uk-UA"/>
        </w:rPr>
        <w:t>.-</w:t>
      </w:r>
      <w:proofErr w:type="gramEnd"/>
      <w:r w:rsidRPr="00335B31">
        <w:rPr>
          <w:sz w:val="28"/>
          <w:szCs w:val="28"/>
          <w:lang w:val="uk-UA"/>
        </w:rPr>
        <w:t xml:space="preserve">метод. </w:t>
      </w:r>
      <w:proofErr w:type="spellStart"/>
      <w:r w:rsidRPr="00335B31">
        <w:rPr>
          <w:sz w:val="28"/>
          <w:szCs w:val="28"/>
          <w:lang w:val="uk-UA"/>
        </w:rPr>
        <w:t>посіб</w:t>
      </w:r>
      <w:proofErr w:type="spellEnd"/>
      <w:r w:rsidRPr="00335B31">
        <w:rPr>
          <w:sz w:val="28"/>
          <w:szCs w:val="28"/>
          <w:lang w:val="uk-UA"/>
        </w:rPr>
        <w:t xml:space="preserve">.  / </w:t>
      </w:r>
      <w:proofErr w:type="spellStart"/>
      <w:r w:rsidRPr="00335B31">
        <w:rPr>
          <w:sz w:val="28"/>
          <w:szCs w:val="28"/>
          <w:lang w:val="uk-UA"/>
        </w:rPr>
        <w:t>Укл</w:t>
      </w:r>
      <w:proofErr w:type="spellEnd"/>
      <w:r w:rsidRPr="00335B31">
        <w:rPr>
          <w:sz w:val="28"/>
          <w:szCs w:val="28"/>
          <w:lang w:val="uk-UA"/>
        </w:rPr>
        <w:t xml:space="preserve">. В.П. Черних та ін. – Х.: Вид-во </w:t>
      </w:r>
      <w:proofErr w:type="spellStart"/>
      <w:r w:rsidRPr="00335B31">
        <w:rPr>
          <w:sz w:val="28"/>
          <w:szCs w:val="28"/>
          <w:lang w:val="uk-UA"/>
        </w:rPr>
        <w:t>НФаУ</w:t>
      </w:r>
      <w:proofErr w:type="spellEnd"/>
      <w:r w:rsidRPr="00335B31">
        <w:rPr>
          <w:sz w:val="28"/>
          <w:szCs w:val="28"/>
          <w:lang w:val="uk-UA"/>
        </w:rPr>
        <w:t xml:space="preserve">, 2004. – 68 с. </w:t>
      </w:r>
    </w:p>
    <w:p w:rsidR="004C43EA" w:rsidRPr="00335B31" w:rsidRDefault="004C43EA">
      <w:pPr>
        <w:rPr>
          <w:sz w:val="28"/>
          <w:szCs w:val="28"/>
          <w:lang w:val="uk-UA"/>
        </w:rPr>
      </w:pPr>
    </w:p>
    <w:sectPr w:rsidR="004C43EA" w:rsidRPr="0033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67"/>
    <w:rsid w:val="00335B31"/>
    <w:rsid w:val="004C43EA"/>
    <w:rsid w:val="00A2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B0A73-B283-4228-9E37-88D9589D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7967"/>
    <w:pPr>
      <w:keepNext/>
      <w:spacing w:line="360" w:lineRule="auto"/>
      <w:jc w:val="center"/>
      <w:outlineLvl w:val="0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A27967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qFormat/>
    <w:rsid w:val="00A27967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796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A27967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A27967"/>
    <w:rPr>
      <w:rFonts w:ascii="Times New Roman" w:eastAsia="Times New Roman" w:hAnsi="Times New Roman" w:cs="Times New Roman"/>
      <w:b/>
      <w:bCs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Бойчук Ірина, </vt:lpstr>
      <vt:lpstr>Впровадження нових технологій навчання у професійній підготовці фармацевтів у ко</vt:lpstr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2014-12-06T18:17:00Z</dcterms:created>
  <dcterms:modified xsi:type="dcterms:W3CDTF">2014-12-06T18:40:00Z</dcterms:modified>
</cp:coreProperties>
</file>